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ECAD" w14:textId="77777777" w:rsidR="00AA189C" w:rsidRDefault="00AA189C" w:rsidP="00AA189C">
      <w:pPr>
        <w:jc w:val="both"/>
        <w:rPr>
          <w:rFonts w:ascii="Arial" w:hAnsi="Arial" w:cs="Arial"/>
          <w:sz w:val="24"/>
        </w:rPr>
      </w:pPr>
    </w:p>
    <w:p w14:paraId="3CAFE273" w14:textId="77777777" w:rsidR="00783461" w:rsidRPr="00783461" w:rsidRDefault="00783461" w:rsidP="00783461">
      <w:pPr>
        <w:jc w:val="both"/>
        <w:rPr>
          <w:rFonts w:ascii="Arial" w:hAnsi="Arial" w:cs="Arial"/>
          <w:b/>
          <w:bCs/>
          <w:sz w:val="36"/>
          <w:szCs w:val="32"/>
        </w:rPr>
      </w:pPr>
      <w:r w:rsidRPr="00783461">
        <w:rPr>
          <w:rFonts w:ascii="Arial" w:hAnsi="Arial" w:cs="Arial"/>
          <w:b/>
          <w:bCs/>
          <w:sz w:val="36"/>
          <w:szCs w:val="32"/>
        </w:rPr>
        <w:t>Mikkeli's building stock</w:t>
      </w:r>
    </w:p>
    <w:p w14:paraId="428F2520" w14:textId="77777777" w:rsidR="00783461" w:rsidRPr="00783461" w:rsidRDefault="00783461" w:rsidP="00783461">
      <w:pPr>
        <w:jc w:val="both"/>
        <w:rPr>
          <w:rFonts w:ascii="Arial" w:hAnsi="Arial" w:cs="Arial"/>
          <w:sz w:val="24"/>
          <w:szCs w:val="24"/>
          <w:lang w:val="en-GB"/>
        </w:rPr>
      </w:pPr>
    </w:p>
    <w:p w14:paraId="0890242E" w14:textId="55519E11" w:rsidR="00783461" w:rsidRPr="00783461" w:rsidRDefault="00783461" w:rsidP="00783461">
      <w:pPr>
        <w:jc w:val="both"/>
        <w:rPr>
          <w:rFonts w:ascii="Arial" w:hAnsi="Arial" w:cs="Arial"/>
          <w:sz w:val="24"/>
          <w:szCs w:val="24"/>
          <w:lang w:val="en-GB"/>
        </w:rPr>
      </w:pPr>
      <w:r w:rsidRPr="00783461">
        <w:rPr>
          <w:rFonts w:ascii="Arial" w:hAnsi="Arial" w:cs="Arial"/>
          <w:sz w:val="24"/>
          <w:szCs w:val="24"/>
          <w:lang w:val="en-GB"/>
        </w:rPr>
        <w:t>According to Statistics Finland's statistics on buildings and summer cottages, at the end of 2019, Mikkeli had a total of 16,812 buildings with a total floor area of approximately 4.1 million square metres (4,904,919 m2). The majority (37% by floor area) of the buildings are detached subdivisions. The second largest number is made up of apartment buildings (20% by floor area). As a rule, this building stock does not include summer cottages and agricultural buildings, among others. However, there is a separate table on summer cottages, according to which there were 10 558 summer cottages in Mikkeli in 2019. However, the floor area of summer cottages is not included in the statistics.</w:t>
      </w:r>
    </w:p>
    <w:p w14:paraId="5C6D43DE" w14:textId="1CC8AD3D" w:rsidR="00783461" w:rsidRDefault="00783461" w:rsidP="00783461">
      <w:pPr>
        <w:jc w:val="both"/>
        <w:rPr>
          <w:rFonts w:ascii="Arial" w:hAnsi="Arial" w:cs="Arial"/>
          <w:sz w:val="24"/>
          <w:szCs w:val="24"/>
          <w:lang w:val="en-GB"/>
        </w:rPr>
      </w:pPr>
      <w:r w:rsidRPr="00783461">
        <w:rPr>
          <w:rFonts w:ascii="Arial" w:hAnsi="Arial" w:cs="Arial"/>
          <w:sz w:val="24"/>
          <w:szCs w:val="24"/>
          <w:lang w:val="en-GB"/>
        </w:rPr>
        <w:t>The amount of material contained in the buildings was estimated on the basis of the floor area by using the demolition material quantities calculated in the demolition of the buildings. In the demolition waste report by Raimo Lilja and Juha Kärkkäinen (https://cityloops.metabolismofcities.org/library/989983/), specific waste quantities were calculated using waste quantities from four public buildings demolished in Mikkeli.</w:t>
      </w:r>
    </w:p>
    <w:p w14:paraId="0012C78C" w14:textId="60A90476" w:rsidR="00783461" w:rsidRPr="00783461" w:rsidRDefault="00783461" w:rsidP="00783461">
      <w:pPr>
        <w:jc w:val="both"/>
        <w:rPr>
          <w:rFonts w:ascii="Arial" w:hAnsi="Arial" w:cs="Arial"/>
          <w:sz w:val="24"/>
          <w:szCs w:val="24"/>
          <w:lang w:val="en-GB"/>
        </w:rPr>
      </w:pPr>
      <w:r w:rsidRPr="00783461">
        <w:rPr>
          <w:rFonts w:ascii="Arial" w:hAnsi="Arial" w:cs="Arial"/>
          <w:sz w:val="24"/>
          <w:szCs w:val="24"/>
          <w:lang w:val="en-GB"/>
        </w:rPr>
        <w:t xml:space="preserve">Waste quantities per material were calculated for as many of the materials included in the SCA </w:t>
      </w:r>
      <w:r>
        <w:rPr>
          <w:rFonts w:ascii="Arial" w:hAnsi="Arial" w:cs="Arial"/>
          <w:sz w:val="24"/>
          <w:szCs w:val="24"/>
          <w:lang w:val="en-GB"/>
        </w:rPr>
        <w:t>study</w:t>
      </w:r>
      <w:r w:rsidRPr="00783461">
        <w:rPr>
          <w:rFonts w:ascii="Arial" w:hAnsi="Arial" w:cs="Arial"/>
          <w:sz w:val="24"/>
          <w:szCs w:val="24"/>
          <w:lang w:val="en-GB"/>
        </w:rPr>
        <w:t>. However, the quantities are most reliable for concrete and wood. Other materials may also have been mixed with other waste fractions. For example, the amount of glass is zero based on the data, because glass waste is not sorted separately at the demolition sites. The amount of soil materials does not necessarily correspond to the amount of soil used for construction. Plastic waste, paper and cardboard waste, energy waste, other hazardous waste and unsorted construction waste were excluded. Therefore, the total amount of specific waste is not exactly the same as in the demolition waste survey. On average, discarded waste fractions account for 2% of the total waste.</w:t>
      </w:r>
    </w:p>
    <w:p w14:paraId="0FCE4623" w14:textId="6B7DF12A" w:rsidR="00783461" w:rsidRPr="00783461" w:rsidRDefault="00783461" w:rsidP="00783461">
      <w:pPr>
        <w:jc w:val="both"/>
        <w:rPr>
          <w:rFonts w:ascii="Arial" w:hAnsi="Arial" w:cs="Arial"/>
          <w:sz w:val="24"/>
          <w:szCs w:val="24"/>
          <w:lang w:val="en-GB"/>
        </w:rPr>
      </w:pPr>
      <w:r w:rsidRPr="00783461">
        <w:rPr>
          <w:rFonts w:ascii="Arial" w:hAnsi="Arial" w:cs="Arial"/>
          <w:sz w:val="24"/>
          <w:szCs w:val="24"/>
          <w:lang w:val="en-GB"/>
        </w:rPr>
        <w:t>The floor area of buildings (Buildings and summer cottages, Statistics Finland, statistics 2019) was converted into tonnes of material using the total floor area of all buildings in Mikkeli of 4 904 919 m2. For example, the amount of concrete may be overestimated, as the amount of concrete in detached houses may be significantly lower. In the demolition waste survey, only one single-family house with a wooden structure was found with a concrete waste of 0.156 t/m2 and one summer cottage with a wooden waste of 0.054 t/m2. An attempt was also made to search for the material quantities of single-family houses on the internet, but no information could be found.</w:t>
      </w:r>
    </w:p>
    <w:p w14:paraId="59AC93EE" w14:textId="4CB3F56A" w:rsidR="00AA189C" w:rsidRDefault="00AA189C" w:rsidP="00AA189C">
      <w:pPr>
        <w:jc w:val="both"/>
        <w:rPr>
          <w:rFonts w:ascii="Arial" w:hAnsi="Arial" w:cs="Arial"/>
          <w:sz w:val="24"/>
          <w:szCs w:val="24"/>
        </w:rPr>
      </w:pPr>
    </w:p>
    <w:p w14:paraId="48A3BB1F" w14:textId="77777777" w:rsidR="00AA189C" w:rsidRDefault="00AA189C" w:rsidP="00AA189C">
      <w:pPr>
        <w:jc w:val="both"/>
        <w:rPr>
          <w:rFonts w:ascii="Arial" w:hAnsi="Arial" w:cs="Arial"/>
          <w:sz w:val="24"/>
          <w:szCs w:val="24"/>
        </w:rPr>
      </w:pPr>
    </w:p>
    <w:p w14:paraId="79107F89" w14:textId="77777777" w:rsidR="00AA189C" w:rsidRDefault="00AA189C" w:rsidP="00AA189C">
      <w:pPr>
        <w:jc w:val="both"/>
        <w:rPr>
          <w:rFonts w:ascii="Arial" w:hAnsi="Arial" w:cs="Arial"/>
          <w:sz w:val="24"/>
          <w:szCs w:val="24"/>
        </w:rPr>
      </w:pPr>
    </w:p>
    <w:p w14:paraId="6B74978C" w14:textId="77777777" w:rsidR="00AA189C" w:rsidRDefault="00AA189C" w:rsidP="00AA189C">
      <w:pPr>
        <w:jc w:val="both"/>
        <w:rPr>
          <w:rFonts w:ascii="Arial" w:hAnsi="Arial" w:cs="Arial"/>
          <w:sz w:val="24"/>
          <w:szCs w:val="24"/>
        </w:rPr>
      </w:pPr>
    </w:p>
    <w:p w14:paraId="18FD402F" w14:textId="77777777" w:rsidR="00AA189C" w:rsidRDefault="00AA189C" w:rsidP="00AA189C">
      <w:pPr>
        <w:jc w:val="both"/>
        <w:rPr>
          <w:rFonts w:ascii="Arial" w:hAnsi="Arial" w:cs="Arial"/>
          <w:sz w:val="24"/>
          <w:szCs w:val="24"/>
        </w:rPr>
      </w:pPr>
    </w:p>
    <w:p w14:paraId="3A988ADB" w14:textId="77777777" w:rsidR="00AA189C" w:rsidRDefault="00AA189C" w:rsidP="00AA189C">
      <w:pPr>
        <w:jc w:val="both"/>
        <w:rPr>
          <w:rFonts w:ascii="Arial" w:hAnsi="Arial" w:cs="Arial"/>
          <w:sz w:val="24"/>
          <w:szCs w:val="24"/>
        </w:rPr>
      </w:pPr>
    </w:p>
    <w:p w14:paraId="5645E48A" w14:textId="77777777" w:rsidR="00AA189C" w:rsidRDefault="00AA189C" w:rsidP="00AA189C">
      <w:pPr>
        <w:jc w:val="both"/>
        <w:rPr>
          <w:rFonts w:ascii="Arial" w:hAnsi="Arial" w:cs="Arial"/>
          <w:sz w:val="24"/>
          <w:szCs w:val="24"/>
        </w:rPr>
      </w:pPr>
    </w:p>
    <w:p w14:paraId="6259343B" w14:textId="77777777" w:rsidR="00AA189C" w:rsidRDefault="00AA189C" w:rsidP="00AA189C">
      <w:pPr>
        <w:jc w:val="both"/>
        <w:rPr>
          <w:rFonts w:ascii="Arial" w:hAnsi="Arial" w:cs="Arial"/>
          <w:sz w:val="24"/>
          <w:szCs w:val="24"/>
        </w:rPr>
      </w:pPr>
    </w:p>
    <w:p w14:paraId="1A64FC93" w14:textId="37D1D4BC" w:rsidR="00AA189C" w:rsidRPr="00783461" w:rsidRDefault="00783461" w:rsidP="00AA189C">
      <w:pPr>
        <w:jc w:val="both"/>
        <w:rPr>
          <w:rFonts w:ascii="Arial" w:hAnsi="Arial" w:cs="Arial"/>
          <w:sz w:val="24"/>
          <w:szCs w:val="24"/>
          <w:lang w:val="en-GB"/>
        </w:rPr>
      </w:pPr>
      <w:r w:rsidRPr="00783461">
        <w:rPr>
          <w:rFonts w:ascii="Arial" w:hAnsi="Arial" w:cs="Arial"/>
          <w:sz w:val="24"/>
          <w:szCs w:val="24"/>
          <w:lang w:val="en-GB"/>
        </w:rPr>
        <w:t>Table 1. Specific waste quantities at four demolished sites in Mikkeli and the total amount of materials in the Mikkeli building stock calculated on this basis, when the total floor area of the building stock is 4 904 919 m2 (Buildings and summer cottages, Statistics Finland, statistics 2019).</w:t>
      </w:r>
    </w:p>
    <w:tbl>
      <w:tblPr>
        <w:tblStyle w:val="TaulukkoRuudukko"/>
        <w:tblW w:w="5000" w:type="pct"/>
        <w:tblLook w:val="04A0" w:firstRow="1" w:lastRow="0" w:firstColumn="1" w:lastColumn="0" w:noHBand="0" w:noVBand="1"/>
      </w:tblPr>
      <w:tblGrid>
        <w:gridCol w:w="4541"/>
        <w:gridCol w:w="2550"/>
        <w:gridCol w:w="2537"/>
      </w:tblGrid>
      <w:tr w:rsidR="00AA189C" w:rsidRPr="00783461" w14:paraId="5DBDF6A6" w14:textId="77777777" w:rsidTr="00AA189C">
        <w:trPr>
          <w:trHeight w:val="290"/>
        </w:trPr>
        <w:tc>
          <w:tcPr>
            <w:tcW w:w="2427" w:type="pct"/>
            <w:noWrap/>
            <w:hideMark/>
          </w:tcPr>
          <w:p w14:paraId="2F3A477B" w14:textId="77777777" w:rsidR="00AA189C" w:rsidRPr="00783461" w:rsidRDefault="00AA189C" w:rsidP="002D6673">
            <w:pPr>
              <w:rPr>
                <w:rFonts w:ascii="Times New Roman" w:eastAsia="Times New Roman" w:hAnsi="Times New Roman" w:cs="Times New Roman"/>
                <w:sz w:val="24"/>
                <w:szCs w:val="24"/>
                <w:lang w:val="en-GB" w:eastAsia="fi-FI"/>
              </w:rPr>
            </w:pPr>
          </w:p>
        </w:tc>
        <w:tc>
          <w:tcPr>
            <w:tcW w:w="1393" w:type="pct"/>
            <w:noWrap/>
            <w:hideMark/>
          </w:tcPr>
          <w:p w14:paraId="73A23E2E" w14:textId="1E0FB1F3" w:rsidR="00AA189C" w:rsidRDefault="00783461" w:rsidP="002D6673">
            <w:pPr>
              <w:rPr>
                <w:rFonts w:ascii="Calibri" w:eastAsia="Times New Roman" w:hAnsi="Calibri" w:cs="Calibri"/>
                <w:color w:val="000000"/>
                <w:lang w:eastAsia="fi-FI"/>
              </w:rPr>
            </w:pPr>
            <w:r>
              <w:rPr>
                <w:rFonts w:ascii="Calibri" w:eastAsia="Times New Roman" w:hAnsi="Calibri" w:cs="Calibri"/>
                <w:color w:val="000000"/>
                <w:lang w:eastAsia="fi-FI"/>
              </w:rPr>
              <w:t>waste amount</w:t>
            </w:r>
          </w:p>
          <w:p w14:paraId="3238563C" w14:textId="77777777" w:rsidR="00AA189C" w:rsidRPr="00C2479A" w:rsidRDefault="00AA189C" w:rsidP="002D6673">
            <w:pPr>
              <w:rPr>
                <w:rFonts w:ascii="Calibri" w:eastAsia="Times New Roman" w:hAnsi="Calibri" w:cs="Calibri"/>
                <w:color w:val="000000"/>
                <w:lang w:eastAsia="fi-FI"/>
              </w:rPr>
            </w:pPr>
            <w:r>
              <w:rPr>
                <w:rFonts w:ascii="Calibri" w:eastAsia="Times New Roman" w:hAnsi="Calibri" w:cs="Calibri"/>
                <w:color w:val="000000"/>
                <w:lang w:eastAsia="fi-FI"/>
              </w:rPr>
              <w:t>t/m2</w:t>
            </w:r>
          </w:p>
        </w:tc>
        <w:tc>
          <w:tcPr>
            <w:tcW w:w="1180" w:type="pct"/>
            <w:noWrap/>
            <w:hideMark/>
          </w:tcPr>
          <w:p w14:paraId="35998017" w14:textId="77777777" w:rsidR="00783461" w:rsidRDefault="00783461" w:rsidP="002D6673">
            <w:pPr>
              <w:rPr>
                <w:rFonts w:ascii="Calibri" w:eastAsia="Times New Roman" w:hAnsi="Calibri" w:cs="Calibri"/>
                <w:color w:val="000000"/>
                <w:lang w:val="en-GB" w:eastAsia="fi-FI"/>
              </w:rPr>
            </w:pPr>
            <w:r w:rsidRPr="00783461">
              <w:rPr>
                <w:rFonts w:ascii="Calibri" w:eastAsia="Times New Roman" w:hAnsi="Calibri" w:cs="Calibri"/>
                <w:color w:val="000000"/>
                <w:lang w:val="en-GB" w:eastAsia="fi-FI"/>
              </w:rPr>
              <w:t xml:space="preserve">Total </w:t>
            </w:r>
            <w:r>
              <w:rPr>
                <w:rFonts w:ascii="Calibri" w:eastAsia="Times New Roman" w:hAnsi="Calibri" w:cs="Calibri"/>
                <w:color w:val="000000"/>
                <w:lang w:val="en-GB" w:eastAsia="fi-FI"/>
              </w:rPr>
              <w:t xml:space="preserve">amount </w:t>
            </w:r>
            <w:r w:rsidRPr="00783461">
              <w:rPr>
                <w:rFonts w:ascii="Calibri" w:eastAsia="Times New Roman" w:hAnsi="Calibri" w:cs="Calibri"/>
                <w:color w:val="000000"/>
                <w:lang w:val="en-GB" w:eastAsia="fi-FI"/>
              </w:rPr>
              <w:t>of materials</w:t>
            </w:r>
          </w:p>
          <w:p w14:paraId="36510873" w14:textId="028EA696" w:rsidR="00AA189C" w:rsidRPr="00783461" w:rsidRDefault="00783461" w:rsidP="002D6673">
            <w:pPr>
              <w:rPr>
                <w:rFonts w:ascii="Calibri" w:eastAsia="Times New Roman" w:hAnsi="Calibri" w:cs="Calibri"/>
                <w:color w:val="000000"/>
                <w:lang w:val="en-GB" w:eastAsia="fi-FI"/>
              </w:rPr>
            </w:pPr>
            <w:r w:rsidRPr="00783461">
              <w:rPr>
                <w:rFonts w:ascii="Calibri" w:eastAsia="Times New Roman" w:hAnsi="Calibri" w:cs="Calibri"/>
                <w:color w:val="000000"/>
                <w:lang w:val="en-GB" w:eastAsia="fi-FI"/>
              </w:rPr>
              <w:t xml:space="preserve"> in building stock</w:t>
            </w:r>
            <w:r w:rsidR="00AA189C" w:rsidRPr="00783461">
              <w:rPr>
                <w:rFonts w:ascii="Calibri" w:eastAsia="Times New Roman" w:hAnsi="Calibri" w:cs="Calibri"/>
                <w:color w:val="000000"/>
                <w:lang w:val="en-GB" w:eastAsia="fi-FI"/>
              </w:rPr>
              <w:t xml:space="preserve"> t</w:t>
            </w:r>
          </w:p>
        </w:tc>
      </w:tr>
      <w:tr w:rsidR="00AA189C" w:rsidRPr="00C2479A" w14:paraId="2B53F0F7" w14:textId="77777777" w:rsidTr="00AA189C">
        <w:trPr>
          <w:trHeight w:val="290"/>
        </w:trPr>
        <w:tc>
          <w:tcPr>
            <w:tcW w:w="2427" w:type="pct"/>
            <w:hideMark/>
          </w:tcPr>
          <w:p w14:paraId="5BAC1419" w14:textId="43C943DF"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Aluminium</w:t>
            </w:r>
            <w:r>
              <w:rPr>
                <w:rFonts w:ascii="Arial" w:eastAsia="Times New Roman" w:hAnsi="Arial" w:cs="Arial"/>
                <w:bCs/>
                <w:color w:val="000000"/>
                <w:sz w:val="20"/>
                <w:szCs w:val="20"/>
                <w:lang w:eastAsia="fi-FI"/>
              </w:rPr>
              <w:t xml:space="preserve"> (metal</w:t>
            </w:r>
            <w:r w:rsidR="00783461">
              <w:rPr>
                <w:rFonts w:ascii="Arial" w:eastAsia="Times New Roman" w:hAnsi="Arial" w:cs="Arial"/>
                <w:bCs/>
                <w:color w:val="000000"/>
                <w:sz w:val="20"/>
                <w:szCs w:val="20"/>
                <w:lang w:eastAsia="fi-FI"/>
              </w:rPr>
              <w:t xml:space="preserve"> waste</w:t>
            </w:r>
            <w:r>
              <w:rPr>
                <w:rFonts w:ascii="Arial" w:eastAsia="Times New Roman" w:hAnsi="Arial" w:cs="Arial"/>
                <w:bCs/>
                <w:color w:val="000000"/>
                <w:sz w:val="20"/>
                <w:szCs w:val="20"/>
                <w:lang w:eastAsia="fi-FI"/>
              </w:rPr>
              <w:t>)</w:t>
            </w:r>
          </w:p>
        </w:tc>
        <w:tc>
          <w:tcPr>
            <w:tcW w:w="1393" w:type="pct"/>
            <w:noWrap/>
            <w:hideMark/>
          </w:tcPr>
          <w:p w14:paraId="1443C83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0,038</w:t>
            </w:r>
          </w:p>
        </w:tc>
        <w:tc>
          <w:tcPr>
            <w:tcW w:w="1180" w:type="pct"/>
            <w:noWrap/>
            <w:hideMark/>
          </w:tcPr>
          <w:p w14:paraId="07643BB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184374</w:t>
            </w:r>
          </w:p>
        </w:tc>
      </w:tr>
      <w:tr w:rsidR="00AA189C" w:rsidRPr="00C2479A" w14:paraId="07098412" w14:textId="77777777" w:rsidTr="00AA189C">
        <w:trPr>
          <w:trHeight w:val="290"/>
        </w:trPr>
        <w:tc>
          <w:tcPr>
            <w:tcW w:w="2427" w:type="pct"/>
            <w:hideMark/>
          </w:tcPr>
          <w:p w14:paraId="4E4FF584" w14:textId="133F8F08"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Bitumen/ Asphalt</w:t>
            </w:r>
            <w:r>
              <w:rPr>
                <w:rFonts w:ascii="Arial" w:eastAsia="Times New Roman" w:hAnsi="Arial" w:cs="Arial"/>
                <w:bCs/>
                <w:color w:val="000000"/>
                <w:sz w:val="20"/>
                <w:szCs w:val="20"/>
                <w:lang w:eastAsia="fi-FI"/>
              </w:rPr>
              <w:t xml:space="preserve"> </w:t>
            </w:r>
          </w:p>
        </w:tc>
        <w:tc>
          <w:tcPr>
            <w:tcW w:w="1393" w:type="pct"/>
            <w:noWrap/>
            <w:hideMark/>
          </w:tcPr>
          <w:p w14:paraId="2A71D83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0,005</w:t>
            </w:r>
          </w:p>
        </w:tc>
        <w:tc>
          <w:tcPr>
            <w:tcW w:w="1180" w:type="pct"/>
            <w:noWrap/>
            <w:hideMark/>
          </w:tcPr>
          <w:p w14:paraId="6C8009EC"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22607</w:t>
            </w:r>
          </w:p>
        </w:tc>
      </w:tr>
      <w:tr w:rsidR="00AA189C" w:rsidRPr="00C2479A" w14:paraId="35D8FF79" w14:textId="77777777" w:rsidTr="00AA189C">
        <w:trPr>
          <w:trHeight w:val="290"/>
        </w:trPr>
        <w:tc>
          <w:tcPr>
            <w:tcW w:w="2427" w:type="pct"/>
            <w:hideMark/>
          </w:tcPr>
          <w:p w14:paraId="131C5838"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Bricks</w:t>
            </w:r>
          </w:p>
        </w:tc>
        <w:tc>
          <w:tcPr>
            <w:tcW w:w="1393" w:type="pct"/>
            <w:noWrap/>
            <w:hideMark/>
          </w:tcPr>
          <w:p w14:paraId="49D7F507"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7CDFEECC"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1532DFED" w14:textId="77777777" w:rsidTr="00AA189C">
        <w:trPr>
          <w:trHeight w:val="290"/>
        </w:trPr>
        <w:tc>
          <w:tcPr>
            <w:tcW w:w="2427" w:type="pct"/>
            <w:hideMark/>
          </w:tcPr>
          <w:p w14:paraId="60CD8611" w14:textId="35F2F935" w:rsidR="00AA189C" w:rsidRPr="00783461" w:rsidRDefault="00AA189C" w:rsidP="002D6673">
            <w:pPr>
              <w:rPr>
                <w:rFonts w:ascii="Arial" w:eastAsia="Times New Roman" w:hAnsi="Arial" w:cs="Arial"/>
                <w:bCs/>
                <w:color w:val="000000"/>
                <w:sz w:val="20"/>
                <w:szCs w:val="20"/>
                <w:lang w:val="en-GB" w:eastAsia="fi-FI"/>
              </w:rPr>
            </w:pPr>
            <w:r w:rsidRPr="00783461">
              <w:rPr>
                <w:rFonts w:ascii="Arial" w:eastAsia="Times New Roman" w:hAnsi="Arial" w:cs="Arial"/>
                <w:bCs/>
                <w:color w:val="000000"/>
                <w:sz w:val="20"/>
                <w:szCs w:val="20"/>
                <w:lang w:val="en-GB" w:eastAsia="fi-FI"/>
              </w:rPr>
              <w:t xml:space="preserve">Concrete  </w:t>
            </w:r>
            <w:r w:rsidRPr="00783461">
              <w:rPr>
                <w:rFonts w:ascii="Times New Roman" w:eastAsia="Times New Roman" w:hAnsi="Times New Roman" w:cs="Times New Roman"/>
                <w:sz w:val="20"/>
                <w:szCs w:val="20"/>
                <w:lang w:val="en-GB" w:eastAsia="fi-FI"/>
              </w:rPr>
              <w:t xml:space="preserve">( </w:t>
            </w:r>
            <w:r w:rsidR="00783461" w:rsidRPr="00783461">
              <w:rPr>
                <w:rFonts w:ascii="Times New Roman" w:eastAsia="Times New Roman" w:hAnsi="Times New Roman" w:cs="Times New Roman"/>
                <w:sz w:val="20"/>
                <w:szCs w:val="20"/>
                <w:lang w:val="en-GB" w:eastAsia="fi-FI"/>
              </w:rPr>
              <w:t>also bricks</w:t>
            </w:r>
            <w:r w:rsidRPr="00783461">
              <w:rPr>
                <w:rFonts w:ascii="Times New Roman" w:eastAsia="Times New Roman" w:hAnsi="Times New Roman" w:cs="Times New Roman"/>
                <w:sz w:val="20"/>
                <w:szCs w:val="20"/>
                <w:lang w:val="en-GB" w:eastAsia="fi-FI"/>
              </w:rPr>
              <w:t xml:space="preserve">- ja </w:t>
            </w:r>
            <w:r w:rsidR="00783461" w:rsidRPr="00783461">
              <w:rPr>
                <w:rFonts w:ascii="Times New Roman" w:eastAsia="Times New Roman" w:hAnsi="Times New Roman" w:cs="Times New Roman"/>
                <w:sz w:val="20"/>
                <w:szCs w:val="20"/>
                <w:lang w:val="en-GB" w:eastAsia="fi-FI"/>
              </w:rPr>
              <w:t>mineral tile wast</w:t>
            </w:r>
            <w:r w:rsidR="00783461">
              <w:rPr>
                <w:rFonts w:ascii="Times New Roman" w:eastAsia="Times New Roman" w:hAnsi="Times New Roman" w:cs="Times New Roman"/>
                <w:sz w:val="20"/>
                <w:szCs w:val="20"/>
                <w:lang w:val="en-GB" w:eastAsia="fi-FI"/>
              </w:rPr>
              <w:t>e</w:t>
            </w:r>
            <w:r w:rsidRPr="00783461">
              <w:rPr>
                <w:rFonts w:ascii="Times New Roman" w:eastAsia="Times New Roman" w:hAnsi="Times New Roman" w:cs="Times New Roman"/>
                <w:sz w:val="20"/>
                <w:szCs w:val="20"/>
                <w:lang w:val="en-GB" w:eastAsia="fi-FI"/>
              </w:rPr>
              <w:t xml:space="preserve"> + </w:t>
            </w:r>
            <w:r w:rsidR="00783461">
              <w:rPr>
                <w:rFonts w:ascii="Times New Roman" w:eastAsia="Times New Roman" w:hAnsi="Times New Roman" w:cs="Times New Roman"/>
                <w:sz w:val="20"/>
                <w:szCs w:val="20"/>
                <w:lang w:val="en-GB" w:eastAsia="fi-FI"/>
              </w:rPr>
              <w:t>slghtly spoiled concrete</w:t>
            </w:r>
            <w:r w:rsidRPr="00783461">
              <w:rPr>
                <w:rFonts w:ascii="Times New Roman" w:eastAsia="Times New Roman" w:hAnsi="Times New Roman" w:cs="Times New Roman"/>
                <w:sz w:val="20"/>
                <w:szCs w:val="20"/>
                <w:lang w:val="en-GB" w:eastAsia="fi-FI"/>
              </w:rPr>
              <w:t>)</w:t>
            </w:r>
          </w:p>
        </w:tc>
        <w:tc>
          <w:tcPr>
            <w:tcW w:w="1393" w:type="pct"/>
            <w:noWrap/>
            <w:hideMark/>
          </w:tcPr>
          <w:p w14:paraId="6331487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1,649</w:t>
            </w:r>
          </w:p>
        </w:tc>
        <w:tc>
          <w:tcPr>
            <w:tcW w:w="1180" w:type="pct"/>
            <w:noWrap/>
            <w:hideMark/>
          </w:tcPr>
          <w:p w14:paraId="74B66AF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8089908</w:t>
            </w:r>
          </w:p>
        </w:tc>
      </w:tr>
      <w:tr w:rsidR="00AA189C" w:rsidRPr="00C2479A" w14:paraId="1F0504B0" w14:textId="77777777" w:rsidTr="00AA189C">
        <w:trPr>
          <w:trHeight w:val="290"/>
        </w:trPr>
        <w:tc>
          <w:tcPr>
            <w:tcW w:w="2427" w:type="pct"/>
            <w:hideMark/>
          </w:tcPr>
          <w:p w14:paraId="5BC5382D"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Glass</w:t>
            </w:r>
          </w:p>
        </w:tc>
        <w:tc>
          <w:tcPr>
            <w:tcW w:w="1393" w:type="pct"/>
            <w:noWrap/>
            <w:hideMark/>
          </w:tcPr>
          <w:p w14:paraId="4018C62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0,000</w:t>
            </w:r>
          </w:p>
        </w:tc>
        <w:tc>
          <w:tcPr>
            <w:tcW w:w="1180" w:type="pct"/>
            <w:noWrap/>
            <w:hideMark/>
          </w:tcPr>
          <w:p w14:paraId="11770B9B"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w:t>
            </w:r>
          </w:p>
        </w:tc>
      </w:tr>
      <w:tr w:rsidR="00AA189C" w:rsidRPr="00C2479A" w14:paraId="232940C0" w14:textId="77777777" w:rsidTr="00AA189C">
        <w:trPr>
          <w:trHeight w:val="290"/>
        </w:trPr>
        <w:tc>
          <w:tcPr>
            <w:tcW w:w="2427" w:type="pct"/>
            <w:hideMark/>
          </w:tcPr>
          <w:p w14:paraId="1E91A370"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Gypsum</w:t>
            </w:r>
          </w:p>
        </w:tc>
        <w:tc>
          <w:tcPr>
            <w:tcW w:w="1393" w:type="pct"/>
            <w:noWrap/>
            <w:hideMark/>
          </w:tcPr>
          <w:p w14:paraId="42FFA8E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0,000</w:t>
            </w:r>
          </w:p>
        </w:tc>
        <w:tc>
          <w:tcPr>
            <w:tcW w:w="1180" w:type="pct"/>
            <w:noWrap/>
            <w:hideMark/>
          </w:tcPr>
          <w:p w14:paraId="64FEEF25"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1870</w:t>
            </w:r>
          </w:p>
        </w:tc>
      </w:tr>
      <w:tr w:rsidR="00AA189C" w:rsidRPr="00C2479A" w14:paraId="632C0F41" w14:textId="77777777" w:rsidTr="00AA189C">
        <w:trPr>
          <w:trHeight w:val="290"/>
        </w:trPr>
        <w:tc>
          <w:tcPr>
            <w:tcW w:w="2427" w:type="pct"/>
            <w:hideMark/>
          </w:tcPr>
          <w:p w14:paraId="00A5C538"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Insulation</w:t>
            </w:r>
          </w:p>
        </w:tc>
        <w:tc>
          <w:tcPr>
            <w:tcW w:w="1393" w:type="pct"/>
            <w:noWrap/>
            <w:hideMark/>
          </w:tcPr>
          <w:p w14:paraId="4EC9D5A7"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0,006</w:t>
            </w:r>
          </w:p>
        </w:tc>
        <w:tc>
          <w:tcPr>
            <w:tcW w:w="1180" w:type="pct"/>
            <w:noWrap/>
            <w:hideMark/>
          </w:tcPr>
          <w:p w14:paraId="301650F2"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29653</w:t>
            </w:r>
          </w:p>
        </w:tc>
      </w:tr>
      <w:tr w:rsidR="00AA189C" w:rsidRPr="00C2479A" w14:paraId="1ED60B17" w14:textId="77777777" w:rsidTr="00AA189C">
        <w:trPr>
          <w:trHeight w:val="290"/>
        </w:trPr>
        <w:tc>
          <w:tcPr>
            <w:tcW w:w="2427" w:type="pct"/>
            <w:hideMark/>
          </w:tcPr>
          <w:p w14:paraId="2C522B6C"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Iron (Steel)</w:t>
            </w:r>
          </w:p>
        </w:tc>
        <w:tc>
          <w:tcPr>
            <w:tcW w:w="1393" w:type="pct"/>
            <w:noWrap/>
            <w:hideMark/>
          </w:tcPr>
          <w:p w14:paraId="2397D13B"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1242918A"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5C71CDED" w14:textId="77777777" w:rsidTr="00AA189C">
        <w:trPr>
          <w:trHeight w:val="290"/>
        </w:trPr>
        <w:tc>
          <w:tcPr>
            <w:tcW w:w="2427" w:type="pct"/>
            <w:hideMark/>
          </w:tcPr>
          <w:p w14:paraId="14742E6D"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Sand&amp;gravel</w:t>
            </w:r>
          </w:p>
        </w:tc>
        <w:tc>
          <w:tcPr>
            <w:tcW w:w="1393" w:type="pct"/>
            <w:noWrap/>
            <w:hideMark/>
          </w:tcPr>
          <w:p w14:paraId="68D5EE4B"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7223A4AF"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3CCE3AF7" w14:textId="77777777" w:rsidTr="00AA189C">
        <w:trPr>
          <w:trHeight w:val="290"/>
        </w:trPr>
        <w:tc>
          <w:tcPr>
            <w:tcW w:w="2427" w:type="pct"/>
            <w:hideMark/>
          </w:tcPr>
          <w:p w14:paraId="14F5DCC9" w14:textId="0D0F6246"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Soil</w:t>
            </w:r>
          </w:p>
        </w:tc>
        <w:tc>
          <w:tcPr>
            <w:tcW w:w="1393" w:type="pct"/>
            <w:noWrap/>
            <w:hideMark/>
          </w:tcPr>
          <w:p w14:paraId="651A53A2"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0,010</w:t>
            </w:r>
          </w:p>
        </w:tc>
        <w:tc>
          <w:tcPr>
            <w:tcW w:w="1180" w:type="pct"/>
            <w:noWrap/>
            <w:hideMark/>
          </w:tcPr>
          <w:p w14:paraId="3E07658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49049</w:t>
            </w:r>
          </w:p>
        </w:tc>
      </w:tr>
      <w:tr w:rsidR="00AA189C" w:rsidRPr="00C2479A" w14:paraId="5BD5AA62" w14:textId="77777777" w:rsidTr="00AA189C">
        <w:trPr>
          <w:trHeight w:val="290"/>
        </w:trPr>
        <w:tc>
          <w:tcPr>
            <w:tcW w:w="2427" w:type="pct"/>
            <w:hideMark/>
          </w:tcPr>
          <w:p w14:paraId="4EB8F08B" w14:textId="0E49855B"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Timber</w:t>
            </w:r>
          </w:p>
        </w:tc>
        <w:tc>
          <w:tcPr>
            <w:tcW w:w="1393" w:type="pct"/>
            <w:noWrap/>
            <w:hideMark/>
          </w:tcPr>
          <w:p w14:paraId="22EE5CF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0,091</w:t>
            </w:r>
          </w:p>
        </w:tc>
        <w:tc>
          <w:tcPr>
            <w:tcW w:w="1180" w:type="pct"/>
            <w:noWrap/>
            <w:hideMark/>
          </w:tcPr>
          <w:p w14:paraId="2D70CF8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447830</w:t>
            </w:r>
          </w:p>
        </w:tc>
      </w:tr>
      <w:tr w:rsidR="00AA189C" w:rsidRPr="00C2479A" w14:paraId="50B1EAD8" w14:textId="77777777" w:rsidTr="00AA189C">
        <w:trPr>
          <w:trHeight w:val="290"/>
        </w:trPr>
        <w:tc>
          <w:tcPr>
            <w:tcW w:w="2427" w:type="pct"/>
            <w:noWrap/>
            <w:hideMark/>
          </w:tcPr>
          <w:p w14:paraId="2EF64A9E" w14:textId="77777777" w:rsidR="00AA189C" w:rsidRPr="00C2479A" w:rsidRDefault="00AA189C" w:rsidP="002D6673">
            <w:pPr>
              <w:rPr>
                <w:rFonts w:ascii="Arial" w:eastAsia="Times New Roman" w:hAnsi="Arial" w:cs="Arial"/>
                <w:bCs/>
                <w:color w:val="FFFFFF"/>
                <w:sz w:val="20"/>
                <w:szCs w:val="20"/>
                <w:lang w:eastAsia="fi-FI"/>
              </w:rPr>
            </w:pPr>
            <w:r w:rsidRPr="00C2479A">
              <w:rPr>
                <w:rFonts w:ascii="Arial" w:eastAsia="Times New Roman" w:hAnsi="Arial" w:cs="Arial"/>
                <w:bCs/>
                <w:color w:val="FFFFFF"/>
                <w:sz w:val="20"/>
                <w:szCs w:val="20"/>
                <w:lang w:eastAsia="fi-FI"/>
              </w:rPr>
              <w:t>Waste</w:t>
            </w:r>
          </w:p>
        </w:tc>
        <w:tc>
          <w:tcPr>
            <w:tcW w:w="1393" w:type="pct"/>
            <w:noWrap/>
            <w:hideMark/>
          </w:tcPr>
          <w:p w14:paraId="122FE8A7"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52FD0B93"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7418CA0D" w14:textId="77777777" w:rsidTr="00AA189C">
        <w:trPr>
          <w:trHeight w:val="290"/>
        </w:trPr>
        <w:tc>
          <w:tcPr>
            <w:tcW w:w="2427" w:type="pct"/>
            <w:hideMark/>
          </w:tcPr>
          <w:p w14:paraId="548B39EF" w14:textId="0630A27C" w:rsidR="00AA189C" w:rsidRPr="00C2479A" w:rsidRDefault="00783461" w:rsidP="002D6673">
            <w:pPr>
              <w:rPr>
                <w:rFonts w:ascii="Arial" w:eastAsia="Times New Roman" w:hAnsi="Arial" w:cs="Arial"/>
                <w:bCs/>
                <w:color w:val="000000"/>
                <w:sz w:val="20"/>
                <w:szCs w:val="20"/>
                <w:lang w:eastAsia="fi-FI"/>
              </w:rPr>
            </w:pPr>
            <w:r>
              <w:rPr>
                <w:rFonts w:ascii="Arial" w:eastAsia="Times New Roman" w:hAnsi="Arial" w:cs="Arial"/>
                <w:bCs/>
                <w:color w:val="000000"/>
                <w:sz w:val="20"/>
                <w:szCs w:val="20"/>
                <w:lang w:eastAsia="fi-FI"/>
              </w:rPr>
              <w:t>Total</w:t>
            </w:r>
          </w:p>
        </w:tc>
        <w:tc>
          <w:tcPr>
            <w:tcW w:w="1393" w:type="pct"/>
            <w:noWrap/>
            <w:hideMark/>
          </w:tcPr>
          <w:p w14:paraId="27C5A5C3" w14:textId="77777777" w:rsidR="00AA189C" w:rsidRPr="00C2479A" w:rsidRDefault="00AA189C" w:rsidP="002D6673">
            <w:pPr>
              <w:jc w:val="right"/>
              <w:rPr>
                <w:rFonts w:ascii="Times New Roman" w:eastAsia="Times New Roman" w:hAnsi="Times New Roman" w:cs="Times New Roman"/>
                <w:sz w:val="20"/>
                <w:szCs w:val="20"/>
                <w:lang w:eastAsia="fi-FI"/>
              </w:rPr>
            </w:pPr>
            <w:r>
              <w:rPr>
                <w:rFonts w:ascii="Times New Roman" w:eastAsia="Times New Roman" w:hAnsi="Times New Roman" w:cs="Times New Roman"/>
                <w:sz w:val="20"/>
                <w:szCs w:val="20"/>
                <w:lang w:eastAsia="fi-FI"/>
              </w:rPr>
              <w:t>1,799</w:t>
            </w:r>
          </w:p>
        </w:tc>
        <w:tc>
          <w:tcPr>
            <w:tcW w:w="1180" w:type="pct"/>
            <w:noWrap/>
            <w:hideMark/>
          </w:tcPr>
          <w:p w14:paraId="6474E8ED"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8825291</w:t>
            </w:r>
          </w:p>
        </w:tc>
      </w:tr>
    </w:tbl>
    <w:p w14:paraId="760C3B85" w14:textId="77777777" w:rsidR="00AA189C" w:rsidRDefault="00AA189C" w:rsidP="00AA189C">
      <w:pPr>
        <w:jc w:val="both"/>
        <w:rPr>
          <w:rFonts w:ascii="Arial" w:hAnsi="Arial" w:cs="Arial"/>
          <w:sz w:val="24"/>
          <w:szCs w:val="24"/>
        </w:rPr>
      </w:pPr>
    </w:p>
    <w:p w14:paraId="2EDAC930" w14:textId="77777777" w:rsidR="00AA189C" w:rsidRDefault="00AA189C" w:rsidP="00AA189C">
      <w:pPr>
        <w:jc w:val="both"/>
        <w:rPr>
          <w:rFonts w:ascii="Arial" w:hAnsi="Arial" w:cs="Arial"/>
          <w:sz w:val="24"/>
          <w:szCs w:val="24"/>
        </w:rPr>
      </w:pPr>
    </w:p>
    <w:p w14:paraId="0B5E10B4" w14:textId="77777777" w:rsidR="00AA189C" w:rsidRDefault="00AA189C"/>
    <w:sectPr w:rsidR="00AA18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9C"/>
    <w:rsid w:val="0011149A"/>
    <w:rsid w:val="00191FFC"/>
    <w:rsid w:val="00783461"/>
    <w:rsid w:val="0087005F"/>
    <w:rsid w:val="00AA18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6117"/>
  <w15:chartTrackingRefBased/>
  <w15:docId w15:val="{A9E9C38E-2DF7-4EF7-BDD0-DBC63E3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A189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A189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A189C"/>
    <w:rPr>
      <w:rFonts w:ascii="Segoe UI" w:hAnsi="Segoe UI" w:cs="Segoe UI"/>
      <w:sz w:val="18"/>
      <w:szCs w:val="18"/>
    </w:rPr>
  </w:style>
  <w:style w:type="character" w:styleId="Hyperlinkki">
    <w:name w:val="Hyperlink"/>
    <w:basedOn w:val="Kappaleenoletusfontti"/>
    <w:uiPriority w:val="99"/>
    <w:unhideWhenUsed/>
    <w:rsid w:val="00AA189C"/>
    <w:rPr>
      <w:color w:val="0563C1" w:themeColor="hyperlink"/>
      <w:u w:val="single"/>
    </w:rPr>
  </w:style>
  <w:style w:type="table" w:styleId="TaulukkoRuudukko">
    <w:name w:val="Table Grid"/>
    <w:basedOn w:val="Normaalitaulukko"/>
    <w:uiPriority w:val="39"/>
    <w:rsid w:val="00AA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Kaakkois-Suomen Ammattikorkeakoulu Oy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 Vuokko</dc:creator>
  <cp:keywords/>
  <dc:description/>
  <cp:lastModifiedBy>Johanna Järvinen</cp:lastModifiedBy>
  <cp:revision>3</cp:revision>
  <dcterms:created xsi:type="dcterms:W3CDTF">2023-04-11T13:12:00Z</dcterms:created>
  <dcterms:modified xsi:type="dcterms:W3CDTF">2023-04-11T13:22:00Z</dcterms:modified>
</cp:coreProperties>
</file>