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8EA5" w14:textId="77777777" w:rsidR="00671939" w:rsidRDefault="00671939" w:rsidP="00671939">
      <w:pPr>
        <w:pStyle w:val="Heading2"/>
      </w:pPr>
      <w:r>
        <w:t>2.2. Rakentaminen</w:t>
      </w:r>
    </w:p>
    <w:p w14:paraId="0F8117CD" w14:textId="7441454C" w:rsidR="00671939" w:rsidRDefault="00671939" w:rsidP="00671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Liiteri-tietopalvelusta on saatavilla tilasto uudisrakennuksista rakennustyypeittäin. Vuoden 2019 tilaston mukaan uudisrakennusten lukumäärä Mikkelissä oli 171 rakennusta ja kokonaiskerrosala 19 994 m2. Lukumäärällisesti noin 60 % kuului luokkaan muut rakennukset, 25 % luokkaan asuinrakennukset ja 10 % luokkaan vapaa-ajan asunnot. Muut rakennukset saatta</w:t>
      </w:r>
      <w:r>
        <w:rPr>
          <w:rFonts w:ascii="Arial" w:hAnsi="Arial" w:cs="Arial"/>
          <w:sz w:val="24"/>
          <w:szCs w:val="24"/>
        </w:rPr>
        <w:t>vat</w:t>
      </w:r>
      <w:r>
        <w:rPr>
          <w:rFonts w:ascii="Arial" w:hAnsi="Arial" w:cs="Arial"/>
          <w:sz w:val="24"/>
          <w:szCs w:val="24"/>
        </w:rPr>
        <w:t xml:space="preserve"> olla esimerkiksi piharakennuksia</w:t>
      </w:r>
      <w:r>
        <w:rPr>
          <w:rFonts w:ascii="Arial" w:hAnsi="Arial" w:cs="Arial"/>
          <w:sz w:val="24"/>
          <w:szCs w:val="24"/>
        </w:rPr>
        <w:t>.</w:t>
      </w:r>
    </w:p>
    <w:p w14:paraId="667ACE5D" w14:textId="71788D80" w:rsidR="00671939" w:rsidRDefault="00671939" w:rsidP="00671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Kokonaiskerrosala muutettiin tonneiksi käyttämällä </w:t>
      </w:r>
      <w:r>
        <w:rPr>
          <w:rFonts w:ascii="Arial" w:hAnsi="Arial" w:cs="Arial"/>
          <w:sz w:val="24"/>
          <w:szCs w:val="24"/>
        </w:rPr>
        <w:t xml:space="preserve">Raimo Liljan ja Juha Kärkkäisen purkujäteselvityksessä </w:t>
      </w:r>
      <w:r w:rsidR="005F69C1">
        <w:rPr>
          <w:rFonts w:ascii="Arial" w:hAnsi="Arial" w:cs="Arial"/>
          <w:sz w:val="24"/>
          <w:szCs w:val="24"/>
        </w:rPr>
        <w:t>(</w:t>
      </w:r>
      <w:hyperlink r:id="rId4" w:history="1">
        <w:r w:rsidR="00FF46EA" w:rsidRPr="00470D19">
          <w:rPr>
            <w:rStyle w:val="Hyperlink"/>
            <w:rFonts w:ascii="Arial" w:hAnsi="Arial" w:cs="Arial"/>
            <w:sz w:val="24"/>
            <w:szCs w:val="24"/>
          </w:rPr>
          <w:t>https://cityloops.metabolismofcities.org/library/989983/</w:t>
        </w:r>
      </w:hyperlink>
      <w:r w:rsidR="00FF46E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laskettuja </w:t>
      </w:r>
      <w:r>
        <w:rPr>
          <w:rFonts w:ascii="Arial" w:hAnsi="Arial" w:cs="Arial"/>
          <w:sz w:val="24"/>
          <w:szCs w:val="24"/>
        </w:rPr>
        <w:t>ominaisjätemääriä</w:t>
      </w:r>
      <w:r>
        <w:rPr>
          <w:rFonts w:ascii="Arial" w:hAnsi="Arial" w:cs="Arial"/>
          <w:sz w:val="24"/>
          <w:szCs w:val="24"/>
        </w:rPr>
        <w:t xml:space="preserve"> neljästä Mikkelissä puretusta julkisesta rakennuksesta</w:t>
      </w:r>
      <w:r>
        <w:rPr>
          <w:rFonts w:ascii="Arial" w:hAnsi="Arial" w:cs="Arial"/>
          <w:sz w:val="24"/>
          <w:szCs w:val="24"/>
        </w:rPr>
        <w:t>. Määrät todennäköisesti yliarvioivat selvästi ainakin betonin määrän ainakin puurakenteisten omakotitalojen osalta. Toisaalta tässä tapauksessa betoni sisältää myös tiilen, eli tiilitaloissa arvio voi olla oikean suuntainen.</w:t>
      </w:r>
    </w:p>
    <w:p w14:paraId="104BBD26" w14:textId="77777777" w:rsidR="00671939" w:rsidRDefault="00671939" w:rsidP="00671939">
      <w:pPr>
        <w:jc w:val="both"/>
        <w:rPr>
          <w:rFonts w:ascii="Arial" w:hAnsi="Arial" w:cs="Arial"/>
          <w:sz w:val="24"/>
          <w:szCs w:val="24"/>
        </w:rPr>
      </w:pPr>
    </w:p>
    <w:p w14:paraId="52D677B5" w14:textId="1AB24291" w:rsidR="00671939" w:rsidRDefault="00671939" w:rsidP="00671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Taulukko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Materiaalit tonneina Mikkelin uudisrakennuksissa (2019). Kokonaiskerrosala on muutettu tonneiksi käyttämällä purkujäteselvityksen materiaalikohtaisia ominaisjätemääriä eli samoja arvoja kuin rakennuskannan materiaalien laskemisessa.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9"/>
        <w:gridCol w:w="3454"/>
        <w:gridCol w:w="3115"/>
      </w:tblGrid>
      <w:tr w:rsidR="00671939" w:rsidRPr="00D93725" w14:paraId="59E2D464" w14:textId="77777777" w:rsidTr="002D6673">
        <w:trPr>
          <w:trHeight w:val="290"/>
        </w:trPr>
        <w:tc>
          <w:tcPr>
            <w:tcW w:w="1589" w:type="pct"/>
            <w:noWrap/>
            <w:hideMark/>
          </w:tcPr>
          <w:p w14:paraId="08BB3545" w14:textId="77777777" w:rsidR="00671939" w:rsidRPr="00D93725" w:rsidRDefault="00671939" w:rsidP="002D6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94" w:type="pct"/>
            <w:noWrap/>
            <w:hideMark/>
          </w:tcPr>
          <w:p w14:paraId="10F75BBB" w14:textId="77777777" w:rsidR="00671939" w:rsidRPr="00D93725" w:rsidRDefault="00671939" w:rsidP="002D6673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Neljän </w:t>
            </w: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rakennuksen keskiarvot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t/m2</w:t>
            </w:r>
          </w:p>
        </w:tc>
        <w:tc>
          <w:tcPr>
            <w:tcW w:w="1618" w:type="pct"/>
            <w:noWrap/>
            <w:hideMark/>
          </w:tcPr>
          <w:p w14:paraId="7C86C93B" w14:textId="77777777" w:rsidR="00671939" w:rsidRPr="00D93725" w:rsidRDefault="00671939" w:rsidP="002D6673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Materiaalit uudisrakennuksissa t</w:t>
            </w:r>
          </w:p>
        </w:tc>
      </w:tr>
      <w:tr w:rsidR="00671939" w:rsidRPr="00D93725" w14:paraId="215FCA63" w14:textId="77777777" w:rsidTr="002D6673">
        <w:trPr>
          <w:trHeight w:val="290"/>
        </w:trPr>
        <w:tc>
          <w:tcPr>
            <w:tcW w:w="1589" w:type="pct"/>
            <w:hideMark/>
          </w:tcPr>
          <w:p w14:paraId="6DFAF92F" w14:textId="72B45180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Aluminium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metals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1794" w:type="pct"/>
            <w:noWrap/>
            <w:hideMark/>
          </w:tcPr>
          <w:p w14:paraId="50367FC0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0,038</w:t>
            </w:r>
          </w:p>
        </w:tc>
        <w:tc>
          <w:tcPr>
            <w:tcW w:w="1618" w:type="pct"/>
            <w:noWrap/>
            <w:hideMark/>
          </w:tcPr>
          <w:p w14:paraId="55CFD65E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752</w:t>
            </w:r>
          </w:p>
        </w:tc>
      </w:tr>
      <w:tr w:rsidR="00671939" w:rsidRPr="00D93725" w14:paraId="24B0FE1A" w14:textId="77777777" w:rsidTr="002D6673">
        <w:trPr>
          <w:trHeight w:val="290"/>
        </w:trPr>
        <w:tc>
          <w:tcPr>
            <w:tcW w:w="1589" w:type="pct"/>
            <w:hideMark/>
          </w:tcPr>
          <w:p w14:paraId="72E40391" w14:textId="77777777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Bitumen</w:t>
            </w:r>
            <w:proofErr w:type="spellEnd"/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 xml:space="preserve">/ </w:t>
            </w:r>
            <w:proofErr w:type="spellStart"/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Asphalt</w:t>
            </w:r>
            <w:proofErr w:type="spellEnd"/>
          </w:p>
        </w:tc>
        <w:tc>
          <w:tcPr>
            <w:tcW w:w="1794" w:type="pct"/>
            <w:noWrap/>
            <w:hideMark/>
          </w:tcPr>
          <w:p w14:paraId="3069B615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0,005</w:t>
            </w:r>
          </w:p>
        </w:tc>
        <w:tc>
          <w:tcPr>
            <w:tcW w:w="1618" w:type="pct"/>
            <w:noWrap/>
            <w:hideMark/>
          </w:tcPr>
          <w:p w14:paraId="627B0663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92</w:t>
            </w:r>
          </w:p>
        </w:tc>
      </w:tr>
      <w:tr w:rsidR="00671939" w:rsidRPr="00D93725" w14:paraId="5781DDEA" w14:textId="77777777" w:rsidTr="002D6673">
        <w:trPr>
          <w:trHeight w:val="290"/>
        </w:trPr>
        <w:tc>
          <w:tcPr>
            <w:tcW w:w="1589" w:type="pct"/>
            <w:hideMark/>
          </w:tcPr>
          <w:p w14:paraId="3510E1C5" w14:textId="77777777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Bricks</w:t>
            </w:r>
            <w:proofErr w:type="spellEnd"/>
          </w:p>
        </w:tc>
        <w:tc>
          <w:tcPr>
            <w:tcW w:w="1794" w:type="pct"/>
            <w:noWrap/>
            <w:hideMark/>
          </w:tcPr>
          <w:p w14:paraId="63B2107D" w14:textId="77777777" w:rsidR="00671939" w:rsidRPr="00D93725" w:rsidRDefault="00671939" w:rsidP="002D6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18" w:type="pct"/>
            <w:noWrap/>
            <w:hideMark/>
          </w:tcPr>
          <w:p w14:paraId="412F8804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671939" w:rsidRPr="00D93725" w14:paraId="4F70F5D8" w14:textId="77777777" w:rsidTr="002D6673">
        <w:trPr>
          <w:trHeight w:val="290"/>
        </w:trPr>
        <w:tc>
          <w:tcPr>
            <w:tcW w:w="1589" w:type="pct"/>
            <w:hideMark/>
          </w:tcPr>
          <w:p w14:paraId="2C2B3965" w14:textId="77777777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Concrete</w:t>
            </w:r>
            <w:proofErr w:type="spellEnd"/>
          </w:p>
        </w:tc>
        <w:tc>
          <w:tcPr>
            <w:tcW w:w="1794" w:type="pct"/>
            <w:noWrap/>
            <w:hideMark/>
          </w:tcPr>
          <w:p w14:paraId="114593F0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1,649</w:t>
            </w:r>
          </w:p>
        </w:tc>
        <w:tc>
          <w:tcPr>
            <w:tcW w:w="1618" w:type="pct"/>
            <w:noWrap/>
            <w:hideMark/>
          </w:tcPr>
          <w:p w14:paraId="3549132A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32977</w:t>
            </w:r>
          </w:p>
        </w:tc>
      </w:tr>
      <w:tr w:rsidR="00671939" w:rsidRPr="00D93725" w14:paraId="2E836185" w14:textId="77777777" w:rsidTr="002D6673">
        <w:trPr>
          <w:trHeight w:val="290"/>
        </w:trPr>
        <w:tc>
          <w:tcPr>
            <w:tcW w:w="1589" w:type="pct"/>
            <w:hideMark/>
          </w:tcPr>
          <w:p w14:paraId="3B94332A" w14:textId="77777777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Glass</w:t>
            </w:r>
            <w:proofErr w:type="spellEnd"/>
          </w:p>
        </w:tc>
        <w:tc>
          <w:tcPr>
            <w:tcW w:w="1794" w:type="pct"/>
            <w:noWrap/>
            <w:hideMark/>
          </w:tcPr>
          <w:p w14:paraId="3F7BA7FA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0,000</w:t>
            </w:r>
          </w:p>
        </w:tc>
        <w:tc>
          <w:tcPr>
            <w:tcW w:w="1618" w:type="pct"/>
            <w:noWrap/>
            <w:hideMark/>
          </w:tcPr>
          <w:p w14:paraId="05E7F3DF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671939" w:rsidRPr="00D93725" w14:paraId="3E42E9B2" w14:textId="77777777" w:rsidTr="002D6673">
        <w:trPr>
          <w:trHeight w:val="290"/>
        </w:trPr>
        <w:tc>
          <w:tcPr>
            <w:tcW w:w="1589" w:type="pct"/>
            <w:hideMark/>
          </w:tcPr>
          <w:p w14:paraId="0140E4F1" w14:textId="77777777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Gypsum</w:t>
            </w:r>
            <w:proofErr w:type="spellEnd"/>
          </w:p>
        </w:tc>
        <w:tc>
          <w:tcPr>
            <w:tcW w:w="1794" w:type="pct"/>
            <w:noWrap/>
            <w:hideMark/>
          </w:tcPr>
          <w:p w14:paraId="319B98D0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0,000</w:t>
            </w:r>
          </w:p>
        </w:tc>
        <w:tc>
          <w:tcPr>
            <w:tcW w:w="1618" w:type="pct"/>
            <w:noWrap/>
            <w:hideMark/>
          </w:tcPr>
          <w:p w14:paraId="3942444C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</w:tr>
      <w:tr w:rsidR="00671939" w:rsidRPr="00D93725" w14:paraId="245377F2" w14:textId="77777777" w:rsidTr="002D6673">
        <w:trPr>
          <w:trHeight w:val="290"/>
        </w:trPr>
        <w:tc>
          <w:tcPr>
            <w:tcW w:w="1589" w:type="pct"/>
            <w:hideMark/>
          </w:tcPr>
          <w:p w14:paraId="280C17CC" w14:textId="77777777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Insulation</w:t>
            </w:r>
            <w:proofErr w:type="spellEnd"/>
          </w:p>
        </w:tc>
        <w:tc>
          <w:tcPr>
            <w:tcW w:w="1794" w:type="pct"/>
            <w:noWrap/>
            <w:hideMark/>
          </w:tcPr>
          <w:p w14:paraId="72F9C78C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0,006</w:t>
            </w:r>
          </w:p>
        </w:tc>
        <w:tc>
          <w:tcPr>
            <w:tcW w:w="1618" w:type="pct"/>
            <w:noWrap/>
            <w:hideMark/>
          </w:tcPr>
          <w:p w14:paraId="736928E9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121</w:t>
            </w:r>
          </w:p>
        </w:tc>
      </w:tr>
      <w:tr w:rsidR="00671939" w:rsidRPr="00D93725" w14:paraId="414FE627" w14:textId="77777777" w:rsidTr="002D6673">
        <w:trPr>
          <w:trHeight w:val="290"/>
        </w:trPr>
        <w:tc>
          <w:tcPr>
            <w:tcW w:w="1589" w:type="pct"/>
            <w:hideMark/>
          </w:tcPr>
          <w:p w14:paraId="312D37C9" w14:textId="77777777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Iron (Steel)</w:t>
            </w:r>
          </w:p>
        </w:tc>
        <w:tc>
          <w:tcPr>
            <w:tcW w:w="1794" w:type="pct"/>
            <w:noWrap/>
            <w:hideMark/>
          </w:tcPr>
          <w:p w14:paraId="2EC1EEB1" w14:textId="77777777" w:rsidR="00671939" w:rsidRPr="00D93725" w:rsidRDefault="00671939" w:rsidP="002D6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18" w:type="pct"/>
            <w:noWrap/>
            <w:hideMark/>
          </w:tcPr>
          <w:p w14:paraId="60EEB984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671939" w:rsidRPr="00D93725" w14:paraId="279ACE13" w14:textId="77777777" w:rsidTr="002D6673">
        <w:trPr>
          <w:trHeight w:val="290"/>
        </w:trPr>
        <w:tc>
          <w:tcPr>
            <w:tcW w:w="1589" w:type="pct"/>
            <w:hideMark/>
          </w:tcPr>
          <w:p w14:paraId="313D40E8" w14:textId="77777777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Sand&amp;gravel</w:t>
            </w:r>
            <w:proofErr w:type="spellEnd"/>
          </w:p>
        </w:tc>
        <w:tc>
          <w:tcPr>
            <w:tcW w:w="1794" w:type="pct"/>
            <w:noWrap/>
            <w:hideMark/>
          </w:tcPr>
          <w:p w14:paraId="15EFDCD9" w14:textId="77777777" w:rsidR="00671939" w:rsidRPr="00D93725" w:rsidRDefault="00671939" w:rsidP="002D6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18" w:type="pct"/>
            <w:noWrap/>
            <w:hideMark/>
          </w:tcPr>
          <w:p w14:paraId="2DF83F22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671939" w:rsidRPr="00D93725" w14:paraId="2278E664" w14:textId="77777777" w:rsidTr="002D6673">
        <w:trPr>
          <w:trHeight w:val="290"/>
        </w:trPr>
        <w:tc>
          <w:tcPr>
            <w:tcW w:w="1589" w:type="pct"/>
            <w:hideMark/>
          </w:tcPr>
          <w:p w14:paraId="78E076C1" w14:textId="77777777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Soil</w:t>
            </w:r>
            <w:proofErr w:type="spellEnd"/>
          </w:p>
        </w:tc>
        <w:tc>
          <w:tcPr>
            <w:tcW w:w="1794" w:type="pct"/>
            <w:noWrap/>
            <w:hideMark/>
          </w:tcPr>
          <w:p w14:paraId="5638D1BC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0,010</w:t>
            </w:r>
          </w:p>
        </w:tc>
        <w:tc>
          <w:tcPr>
            <w:tcW w:w="1618" w:type="pct"/>
            <w:noWrap/>
            <w:hideMark/>
          </w:tcPr>
          <w:p w14:paraId="5CD2EA71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200</w:t>
            </w:r>
          </w:p>
        </w:tc>
      </w:tr>
      <w:tr w:rsidR="00671939" w:rsidRPr="00D93725" w14:paraId="0DA86F57" w14:textId="77777777" w:rsidTr="002D6673">
        <w:trPr>
          <w:trHeight w:val="290"/>
        </w:trPr>
        <w:tc>
          <w:tcPr>
            <w:tcW w:w="1589" w:type="pct"/>
            <w:hideMark/>
          </w:tcPr>
          <w:p w14:paraId="132B4F0A" w14:textId="77777777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Timber</w:t>
            </w:r>
            <w:proofErr w:type="spellEnd"/>
          </w:p>
        </w:tc>
        <w:tc>
          <w:tcPr>
            <w:tcW w:w="1794" w:type="pct"/>
            <w:noWrap/>
            <w:hideMark/>
          </w:tcPr>
          <w:p w14:paraId="7F83FBC2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0,091</w:t>
            </w:r>
          </w:p>
        </w:tc>
        <w:tc>
          <w:tcPr>
            <w:tcW w:w="1618" w:type="pct"/>
            <w:noWrap/>
            <w:hideMark/>
          </w:tcPr>
          <w:p w14:paraId="055E4C79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1825</w:t>
            </w:r>
          </w:p>
        </w:tc>
      </w:tr>
      <w:tr w:rsidR="00671939" w:rsidRPr="00D93725" w14:paraId="204504FD" w14:textId="77777777" w:rsidTr="002D6673">
        <w:trPr>
          <w:trHeight w:val="290"/>
        </w:trPr>
        <w:tc>
          <w:tcPr>
            <w:tcW w:w="1589" w:type="pct"/>
            <w:hideMark/>
          </w:tcPr>
          <w:p w14:paraId="11C4049F" w14:textId="77777777" w:rsidR="00671939" w:rsidRPr="00D93725" w:rsidRDefault="00671939" w:rsidP="002D66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93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1794" w:type="pct"/>
            <w:noWrap/>
            <w:hideMark/>
          </w:tcPr>
          <w:p w14:paraId="27F1FB17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1,799</w:t>
            </w:r>
          </w:p>
        </w:tc>
        <w:tc>
          <w:tcPr>
            <w:tcW w:w="1618" w:type="pct"/>
            <w:noWrap/>
            <w:hideMark/>
          </w:tcPr>
          <w:p w14:paraId="093A6518" w14:textId="77777777" w:rsidR="00671939" w:rsidRPr="00D93725" w:rsidRDefault="00671939" w:rsidP="002D6673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93725">
              <w:rPr>
                <w:rFonts w:ascii="Calibri" w:eastAsia="Times New Roman" w:hAnsi="Calibri" w:cs="Calibri"/>
                <w:color w:val="000000"/>
                <w:lang w:eastAsia="fi-FI"/>
              </w:rPr>
              <w:t>35975</w:t>
            </w:r>
          </w:p>
        </w:tc>
      </w:tr>
    </w:tbl>
    <w:p w14:paraId="12DD2B64" w14:textId="77777777" w:rsidR="00671939" w:rsidRDefault="00671939" w:rsidP="00671939">
      <w:pPr>
        <w:jc w:val="both"/>
        <w:rPr>
          <w:rFonts w:ascii="Arial" w:hAnsi="Arial" w:cs="Arial"/>
          <w:sz w:val="24"/>
          <w:szCs w:val="24"/>
        </w:rPr>
      </w:pPr>
    </w:p>
    <w:p w14:paraId="49D647C3" w14:textId="77777777" w:rsidR="00671939" w:rsidRDefault="00671939" w:rsidP="00671939">
      <w:pPr>
        <w:jc w:val="both"/>
        <w:rPr>
          <w:rFonts w:ascii="Arial" w:hAnsi="Arial" w:cs="Arial"/>
          <w:sz w:val="24"/>
          <w:szCs w:val="24"/>
        </w:rPr>
      </w:pPr>
    </w:p>
    <w:p w14:paraId="5E17D19E" w14:textId="77777777" w:rsidR="0011149A" w:rsidRDefault="0011149A"/>
    <w:sectPr w:rsidR="001114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39"/>
    <w:rsid w:val="0011149A"/>
    <w:rsid w:val="005F69C1"/>
    <w:rsid w:val="00671939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CF0"/>
  <w15:chartTrackingRefBased/>
  <w15:docId w15:val="{969DEFC5-7703-4E7E-AA64-5BA1CF9E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39"/>
  </w:style>
  <w:style w:type="paragraph" w:styleId="Heading2">
    <w:name w:val="heading 2"/>
    <w:basedOn w:val="Normal"/>
    <w:link w:val="Heading2Char"/>
    <w:uiPriority w:val="9"/>
    <w:qFormat/>
    <w:rsid w:val="00671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939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table" w:styleId="TableGrid">
    <w:name w:val="Table Grid"/>
    <w:basedOn w:val="TableNormal"/>
    <w:uiPriority w:val="39"/>
    <w:rsid w:val="0067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46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tyloops.metabolismofcities.org/library/989983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1345</Characters>
  <Application>Microsoft Office Word</Application>
  <DocSecurity>0</DocSecurity>
  <Lines>11</Lines>
  <Paragraphs>3</Paragraphs>
  <ScaleCrop>false</ScaleCrop>
  <Company>Kaakkois-Suomen Ammattikorkeakoulu Oy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 Vuokko</dc:creator>
  <cp:keywords/>
  <dc:description/>
  <cp:lastModifiedBy>Malk Vuokko</cp:lastModifiedBy>
  <cp:revision>3</cp:revision>
  <dcterms:created xsi:type="dcterms:W3CDTF">2021-09-14T16:03:00Z</dcterms:created>
  <dcterms:modified xsi:type="dcterms:W3CDTF">2021-09-14T16:10:00Z</dcterms:modified>
</cp:coreProperties>
</file>